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467868" cy="486156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7868" cy="4861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MINISTÉRIO DO DESENVOLVIMENTO REGIONAL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CONSELHO NACIONAL DE RECURSOS HÍDRICOS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33.820190429687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e-mail: cnrh@mdr.gov.br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8.34716796875" w:line="240" w:lineRule="auto"/>
        <w:ind w:left="0" w:right="0" w:firstLine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45ª REUNIÃO EXTRAORDINÁRIA DO CNRH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3.118896484375" w:line="199.92000102996826" w:lineRule="auto"/>
        <w:ind w:left="855.83984375" w:right="5666.240234375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 de setembro de 2020.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-33019</wp:posOffset>
            </wp:positionV>
            <wp:extent cx="457200" cy="656844"/>
            <wp:effectExtent b="0" l="0" r="0" t="0"/>
            <wp:wrapSquare wrapText="right" distB="19050" distT="19050" distL="19050" distR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568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7.5198364257812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HORÁRIO: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9h30 às 12h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7.03979492187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LOCAL: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Videoconferência - </w:t>
      </w:r>
      <w:r w:rsidDel="00000000" w:rsidR="00000000" w:rsidRPr="00000000"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Teams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2.718505859375" w:line="240" w:lineRule="auto"/>
        <w:ind w:left="0" w:right="4244.5599365234375" w:firstLine="0"/>
        <w:jc w:val="righ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PAUTA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9.71923828125" w:line="240" w:lineRule="auto"/>
        <w:ind w:left="447.1199035644531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Abertura.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92041015625" w:line="229.90792751312256" w:lineRule="auto"/>
        <w:ind w:left="783.3598327636719" w:right="-6.400146484375" w:hanging="355.679931640625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Proposta de Moção que “Apresenta considerações e recomendações quanto ao Projeto de Lei  n. 550, de 2019, aprovado pela Câmara dos Deputados, visando subsidiar o Senado Federal  e a Presidência da República na tomada de decisão referente às alterações na Política  Nacional de Segurança de Barragens – PNSB”, encaminhada pela Câmara Técnica de  Segurança de Barragens – CTSB. Processo nº 59000.012465/2020-16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011962890625" w:line="240" w:lineRule="auto"/>
        <w:ind w:left="430.7998657226562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Assuntos Gerais e Encerramento.</w:t>
      </w:r>
    </w:p>
    <w:sectPr>
      <w:pgSz w:h="16820" w:w="11900" w:orient="portrait"/>
      <w:pgMar w:bottom="9013.400268554688" w:top="566.400146484375" w:left="1132.7999877929688" w:right="1075.6396484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